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490FDD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02050" w:rsidRPr="00B02050">
        <w:rPr>
          <w:bCs/>
          <w:noProof w:val="0"/>
          <w:sz w:val="24"/>
          <w:szCs w:val="24"/>
        </w:rPr>
        <w:t>11266</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2B7AE3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0354">
        <w:rPr>
          <w:rFonts w:cs="Arial"/>
          <w:b/>
          <w:bCs/>
          <w:sz w:val="24"/>
          <w:lang w:eastAsia="ja-JP"/>
        </w:rPr>
        <w:t>10.2.2.3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58656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0354">
        <w:rPr>
          <w:rFonts w:ascii="Arial" w:hAnsi="Arial" w:cs="Arial"/>
          <w:b/>
          <w:bCs/>
          <w:sz w:val="24"/>
        </w:rPr>
        <w:t>Switching on split bearer at blocking of NR radio</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bookmarkStart w:id="1" w:name="_GoBack"/>
      <w:bookmarkEnd w:id="1"/>
    </w:p>
    <w:p w14:paraId="28341485" w14:textId="261E5BF3" w:rsidR="00F97D5F" w:rsidRDefault="003C43D7" w:rsidP="00CD4C7B">
      <w:r>
        <w:t>RAN2#99 agreed the following.</w:t>
      </w:r>
    </w:p>
    <w:p w14:paraId="05955449" w14:textId="77777777" w:rsidR="003C43D7" w:rsidRPr="003C43D7" w:rsidRDefault="003C43D7" w:rsidP="003C43D7">
      <w:pPr>
        <w:pStyle w:val="Doc-text2"/>
        <w:rPr>
          <w:i/>
        </w:rPr>
      </w:pPr>
      <w:r w:rsidRPr="003C43D7">
        <w:rPr>
          <w:i/>
        </w:rPr>
        <w:t>=&gt;</w:t>
      </w:r>
      <w:r w:rsidRPr="003C43D7">
        <w:rPr>
          <w:i/>
        </w:rPr>
        <w:tab/>
        <w:t xml:space="preserve">A UE with split bearer can be configured to transmit on a single path via RRC signalling.  </w:t>
      </w:r>
    </w:p>
    <w:p w14:paraId="0BBDFC0A" w14:textId="5C731266" w:rsidR="00CD4C7B" w:rsidRPr="006E13D1" w:rsidRDefault="003C43D7" w:rsidP="00CD4C7B">
      <w:r>
        <w:br/>
        <w:t>In this contribution, we discuss how switching – changing the single cell group used on a split bearer – should be handled</w:t>
      </w:r>
      <w:r w:rsidR="00C02E3C">
        <w:t xml:space="preserve">, assuming </w:t>
      </w:r>
      <w:r w:rsidR="00B32835">
        <w:t>blocking and un-blocking of the NR radio as the prime use case</w:t>
      </w:r>
      <w:r>
        <w:t>.</w:t>
      </w:r>
    </w:p>
    <w:p w14:paraId="127ACA6D" w14:textId="575370E6" w:rsidR="00CD4C7B" w:rsidRPr="006E13D1" w:rsidRDefault="00CD4C7B" w:rsidP="00CD4C7B">
      <w:pPr>
        <w:pStyle w:val="Heading1"/>
      </w:pPr>
      <w:r w:rsidRPr="006E13D1">
        <w:t>2</w:t>
      </w:r>
      <w:r w:rsidRPr="006E13D1">
        <w:tab/>
      </w:r>
      <w:r w:rsidR="00CC2DF8">
        <w:t>Discussion</w:t>
      </w:r>
    </w:p>
    <w:p w14:paraId="3B2395C3" w14:textId="3A79A67F" w:rsidR="00CC2DF8" w:rsidRDefault="00CC2DF8" w:rsidP="00CD4C7B">
      <w:r>
        <w:t>For the purpose of this document, we use the following definition.</w:t>
      </w:r>
    </w:p>
    <w:p w14:paraId="67F51A52" w14:textId="3D0DD5CB" w:rsidR="00CC2DF8" w:rsidRDefault="00CC2DF8" w:rsidP="00CD4C7B">
      <w:r>
        <w:tab/>
      </w:r>
      <w:r w:rsidRPr="00CC2DF8">
        <w:rPr>
          <w:b/>
        </w:rPr>
        <w:t>Definition</w:t>
      </w:r>
      <w:r>
        <w:t>:</w:t>
      </w:r>
      <w:r>
        <w:tab/>
      </w:r>
      <w:r w:rsidR="00080D70">
        <w:tab/>
      </w:r>
      <w:r>
        <w:t xml:space="preserve">Switching refers to changing, between MCG and SCG, the single cell group used on a split bearer. </w:t>
      </w:r>
    </w:p>
    <w:p w14:paraId="1C0F8DE0" w14:textId="25EEA148" w:rsidR="00CC2DF8" w:rsidRDefault="0013404A" w:rsidP="00CD4C7B">
      <w:r>
        <w:t>Switching can be done for the uplink, in which case it involves changing the PDCP configuration of the split bearer, or for the downlink</w:t>
      </w:r>
      <w:r w:rsidR="002D7AF4">
        <w:t xml:space="preserve"> (or both)</w:t>
      </w:r>
      <w:r>
        <w:t>.</w:t>
      </w:r>
    </w:p>
    <w:p w14:paraId="17E2D2CB" w14:textId="750E3F39" w:rsidR="00573607" w:rsidRPr="006E13D1" w:rsidRDefault="00573607" w:rsidP="00573607">
      <w:pPr>
        <w:pStyle w:val="Heading2"/>
      </w:pPr>
      <w:r>
        <w:t>2</w:t>
      </w:r>
      <w:r w:rsidRPr="006E13D1">
        <w:t>.1</w:t>
      </w:r>
      <w:r w:rsidRPr="006E13D1">
        <w:tab/>
      </w:r>
      <w:r>
        <w:t>UE- or network-controlled</w:t>
      </w:r>
    </w:p>
    <w:p w14:paraId="41ED4918" w14:textId="17B3B002" w:rsidR="002D7AF4" w:rsidRDefault="002D7AF4" w:rsidP="00CD4C7B">
      <w:r>
        <w:t>When performing switching, one aspect to consider is what to do with any possible data queuing for transmission at the underlying RLC. For instance on RLC AM</w:t>
      </w:r>
      <w:r w:rsidR="000E68E5">
        <w:t xml:space="preserve"> -</w:t>
      </w:r>
      <w:r>
        <w:t xml:space="preserve"> which has been agreed to only support lossless operation</w:t>
      </w:r>
      <w:r w:rsidR="000E68E5">
        <w:t xml:space="preserve"> -</w:t>
      </w:r>
      <w:r>
        <w:t xml:space="preserve"> a tail segment of a PDCP PDU can be left waiting for transmission once blocking happens, while the initial segment has already been successfully delivered. If such an RLC is left operating as is, the segment of PDCP PDU stuck at RLC will have to hold back PDCP’s transmission window: otherwise, once the radio link becomes un-blocked again (after an unknown period of time elapsed), the PDCP PDU that is finally delivered after arbitrary delay can cause HFN de-sync.</w:t>
      </w:r>
    </w:p>
    <w:p w14:paraId="1530AA77" w14:textId="5812EEF9" w:rsidR="002D7AF4" w:rsidRDefault="002D7AF4" w:rsidP="000E68E5">
      <w:pPr>
        <w:ind w:left="1704" w:hanging="1416"/>
      </w:pPr>
      <w:r w:rsidRPr="000E68E5">
        <w:rPr>
          <w:b/>
        </w:rPr>
        <w:t>Observation</w:t>
      </w:r>
      <w:r>
        <w:t>:</w:t>
      </w:r>
      <w:r>
        <w:tab/>
        <w:t>When switching</w:t>
      </w:r>
      <w:r w:rsidR="000E68E5">
        <w:t xml:space="preserve"> away from a blocked cell group</w:t>
      </w:r>
      <w:r>
        <w:t xml:space="preserve">, data stuck at the </w:t>
      </w:r>
      <w:r w:rsidR="000E68E5">
        <w:t xml:space="preserve">transmission queue of the </w:t>
      </w:r>
      <w:r>
        <w:t xml:space="preserve">RLC of </w:t>
      </w:r>
      <w:r w:rsidR="000E68E5">
        <w:t>that cell group needs to be discarded</w:t>
      </w:r>
      <w:r w:rsidR="008651C0">
        <w:t>, in order</w:t>
      </w:r>
      <w:r w:rsidR="000E68E5">
        <w:t xml:space="preserve"> not to hold back PDCP’s transmission window</w:t>
      </w:r>
      <w:r w:rsidR="00DF47D4">
        <w:t xml:space="preserve"> (or cause HFN de-sync once un-blocked again)</w:t>
      </w:r>
      <w:r w:rsidR="000E68E5">
        <w:t>.</w:t>
      </w:r>
    </w:p>
    <w:p w14:paraId="4A0CFCB1" w14:textId="025DDD31" w:rsidR="002D7AF4" w:rsidRDefault="000E68E5" w:rsidP="00CD4C7B">
      <w:r>
        <w:t xml:space="preserve">Because RLC AM only supports lossless operation, </w:t>
      </w:r>
      <w:r w:rsidR="00573607">
        <w:t xml:space="preserve">the only </w:t>
      </w:r>
      <w:r w:rsidR="00B63504">
        <w:t xml:space="preserve">available </w:t>
      </w:r>
      <w:r w:rsidR="00573607">
        <w:t>way for such discarding seems to be re-establishment of the RLC. On the other hand, RLC re-establishment should always be done simultaneously at both UE and network side. This makes UE-autonomous switching look troublesome.</w:t>
      </w:r>
    </w:p>
    <w:p w14:paraId="5FC61CFE" w14:textId="42C2C5E4" w:rsidR="00573607" w:rsidRDefault="00573607" w:rsidP="00CD4C7B">
      <w:r>
        <w:tab/>
      </w:r>
      <w:r w:rsidRPr="00573607">
        <w:rPr>
          <w:b/>
        </w:rPr>
        <w:t>Proposal 1</w:t>
      </w:r>
      <w:r>
        <w:t>:</w:t>
      </w:r>
      <w:r>
        <w:tab/>
      </w:r>
      <w:r>
        <w:tab/>
        <w:t>Switching is initiated and controlled by the network.</w:t>
      </w:r>
    </w:p>
    <w:p w14:paraId="646DF102" w14:textId="6D0771D9" w:rsidR="00AA2317" w:rsidRPr="006E13D1" w:rsidRDefault="00AA2317" w:rsidP="00AA2317">
      <w:pPr>
        <w:pStyle w:val="Heading2"/>
      </w:pPr>
      <w:r>
        <w:t>2</w:t>
      </w:r>
      <w:r w:rsidRPr="006E13D1">
        <w:t>.</w:t>
      </w:r>
      <w:r>
        <w:t>2</w:t>
      </w:r>
      <w:r w:rsidRPr="006E13D1">
        <w:tab/>
      </w:r>
      <w:r w:rsidR="00400841">
        <w:t>Preparation among MN and SN</w:t>
      </w:r>
    </w:p>
    <w:p w14:paraId="452E8D46" w14:textId="457B9604" w:rsidR="00573607" w:rsidRDefault="00400841" w:rsidP="00CD4C7B">
      <w:r>
        <w:t xml:space="preserve">For RRM purposes, </w:t>
      </w:r>
      <w:r w:rsidR="00592446">
        <w:t xml:space="preserve">both MN and SN should </w:t>
      </w:r>
      <w:r w:rsidR="00DF47D4">
        <w:t xml:space="preserve">always be kept aware of whether the node is expected to serve all uplink data of a split bearer, or to serve none at all. For this reason, switching the uplink of a split bearer should always be </w:t>
      </w:r>
      <w:r w:rsidR="009E6C2B">
        <w:t xml:space="preserve">initiated using SN Modification Required (in the SN-initiated case), or SN Modification Request (in the MN-initiated case), where the X2 message </w:t>
      </w:r>
      <w:r w:rsidR="00335E81">
        <w:t xml:space="preserve">indicates </w:t>
      </w:r>
      <w:r w:rsidR="009E6C2B">
        <w:t xml:space="preserve">the </w:t>
      </w:r>
      <w:r w:rsidR="00335E81">
        <w:t xml:space="preserve">proposed new uplink </w:t>
      </w:r>
      <w:r w:rsidR="009E6C2B">
        <w:t>for the other node to consider.</w:t>
      </w:r>
    </w:p>
    <w:p w14:paraId="30AC643D" w14:textId="09052A7D" w:rsidR="009E6C2B" w:rsidRDefault="009E6C2B" w:rsidP="009E6C2B">
      <w:pPr>
        <w:ind w:left="1704" w:hanging="1416"/>
      </w:pPr>
      <w:r w:rsidRPr="009E6C2B">
        <w:rPr>
          <w:b/>
        </w:rPr>
        <w:lastRenderedPageBreak/>
        <w:t>Proposal 2</w:t>
      </w:r>
      <w:r>
        <w:t>:</w:t>
      </w:r>
      <w:r>
        <w:tab/>
        <w:t>Switching the uplink of a split bearer is always initiated using SN Modification Required (in the SN-initiated case), or SN Modification Request (in the MN-initiated case), where the X2</w:t>
      </w:r>
      <w:r w:rsidR="001040E4">
        <w:t>AP</w:t>
      </w:r>
      <w:r>
        <w:t>/Xn</w:t>
      </w:r>
      <w:r w:rsidR="001040E4">
        <w:t>AP</w:t>
      </w:r>
      <w:r>
        <w:t xml:space="preserve"> message </w:t>
      </w:r>
      <w:r w:rsidR="00335E81">
        <w:t xml:space="preserve">indicates </w:t>
      </w:r>
      <w:r>
        <w:t xml:space="preserve">the proposed new </w:t>
      </w:r>
      <w:r w:rsidR="00335E81">
        <w:t xml:space="preserve">uplink </w:t>
      </w:r>
      <w:r w:rsidR="003B3ED3">
        <w:t>for the other node to consider</w:t>
      </w:r>
      <w:r>
        <w:t>.</w:t>
      </w:r>
    </w:p>
    <w:p w14:paraId="427C785F" w14:textId="09735D59" w:rsidR="00400841" w:rsidRDefault="0039567A" w:rsidP="00CD4C7B">
      <w:r>
        <w:t xml:space="preserve">There does not seem to be a particular reason to restrict, which node is allowed to initiate switching: the one that was handling the uplink so far, </w:t>
      </w:r>
      <w:r w:rsidR="00564410">
        <w:t>or the one that was not.</w:t>
      </w:r>
    </w:p>
    <w:p w14:paraId="29D0E16C" w14:textId="6CF7F772" w:rsidR="00564410" w:rsidRDefault="00564410" w:rsidP="00564410">
      <w:pPr>
        <w:ind w:left="1704" w:hanging="1416"/>
      </w:pPr>
      <w:r w:rsidRPr="00564410">
        <w:rPr>
          <w:b/>
        </w:rPr>
        <w:t>Proposal 3</w:t>
      </w:r>
      <w:r>
        <w:t>:</w:t>
      </w:r>
      <w:r>
        <w:tab/>
        <w:t>A node (MN or SN) is allowed to initiate switching of the uplink away from its own cell group, or towards its own cell group.</w:t>
      </w:r>
    </w:p>
    <w:p w14:paraId="7FDCD08A" w14:textId="2FB3BB6E" w:rsidR="00542335" w:rsidRDefault="00542335" w:rsidP="00542335">
      <w:r>
        <w:t>Currently, TS 37.340 says:</w:t>
      </w:r>
    </w:p>
    <w:p w14:paraId="1D2A451A" w14:textId="5E6CB2D1" w:rsidR="00542335" w:rsidRPr="00542335" w:rsidRDefault="00542335" w:rsidP="00542335">
      <w:pPr>
        <w:ind w:left="568"/>
        <w:rPr>
          <w:i/>
        </w:rPr>
      </w:pPr>
      <w:r w:rsidRPr="00542335">
        <w:rPr>
          <w:i/>
          <w:lang w:val="en-US"/>
        </w:rPr>
        <w:t>The MeNB cannot reject the release request of SCG Scells (other than PSCell), SCG bearer and the SCG part of MCG split bearer and SCG split bearer.</w:t>
      </w:r>
    </w:p>
    <w:p w14:paraId="7FDC9264" w14:textId="3D1F6CD4" w:rsidR="00542335" w:rsidRDefault="00542335" w:rsidP="00542335">
      <w:r>
        <w:t>It would be consistent with this policy if the MN was not allowed to reject a request by SN to switch the uplink to MCG.</w:t>
      </w:r>
    </w:p>
    <w:p w14:paraId="799EE5A4" w14:textId="35A71A3F" w:rsidR="00542335" w:rsidRPr="00542335" w:rsidRDefault="00542335" w:rsidP="00542335">
      <w:r>
        <w:tab/>
      </w:r>
      <w:r w:rsidRPr="00542335">
        <w:rPr>
          <w:b/>
        </w:rPr>
        <w:t>Proposal 4</w:t>
      </w:r>
      <w:r>
        <w:t>:</w:t>
      </w:r>
      <w:r>
        <w:tab/>
      </w:r>
      <w:r>
        <w:tab/>
        <w:t xml:space="preserve">MN cannot reject </w:t>
      </w:r>
      <w:r w:rsidR="00FC7C0F">
        <w:t>a request by SN to switch the uplink to MCG.</w:t>
      </w:r>
    </w:p>
    <w:p w14:paraId="1980E658" w14:textId="0CAD51FB" w:rsidR="00CF2F3B" w:rsidRPr="006E13D1" w:rsidRDefault="00CF2F3B" w:rsidP="00CF2F3B">
      <w:pPr>
        <w:pStyle w:val="Heading2"/>
      </w:pPr>
      <w:r>
        <w:t>2</w:t>
      </w:r>
      <w:r w:rsidRPr="006E13D1">
        <w:t>.</w:t>
      </w:r>
      <w:r>
        <w:t>3</w:t>
      </w:r>
      <w:r w:rsidRPr="006E13D1">
        <w:tab/>
      </w:r>
      <w:r>
        <w:t>L2 handling at switching</w:t>
      </w:r>
    </w:p>
    <w:p w14:paraId="1887AFE1" w14:textId="42FB0D42" w:rsidR="00400841" w:rsidRDefault="00A16FAD" w:rsidP="00CD4C7B">
      <w:r>
        <w:t xml:space="preserve">As discussed in section 2.1, RLC should be re-established when switching away from a blocked cell group. This needs to be </w:t>
      </w:r>
      <w:r w:rsidR="003E69D1">
        <w:t xml:space="preserve">coupled with PDCP Data recovery. But RLC re-establishment does not seem necessary when switching away from a non-blocked cell group, such as when switching back to a cell group that previously underwent blocking. It </w:t>
      </w:r>
      <w:r w:rsidR="002D02FE">
        <w:t xml:space="preserve">then </w:t>
      </w:r>
      <w:r w:rsidR="003E69D1">
        <w:t xml:space="preserve">seems that the UE needs to be explicitly </w:t>
      </w:r>
      <w:r w:rsidR="003E69D1" w:rsidRPr="003E69D1">
        <w:rPr>
          <w:lang w:val="en-US"/>
        </w:rPr>
        <w:t>instructed to perform RLC re-establishment and PDCP data recovery whenever applicable</w:t>
      </w:r>
      <w:r w:rsidR="002D02FE">
        <w:rPr>
          <w:lang w:val="en-US"/>
        </w:rPr>
        <w:t xml:space="preserve"> – be it at switching of the uplink, of the downlink, or both.</w:t>
      </w:r>
    </w:p>
    <w:p w14:paraId="3B8D22B5" w14:textId="398B3732" w:rsidR="003E69D1" w:rsidRDefault="003E69D1" w:rsidP="00AC7DB3">
      <w:pPr>
        <w:ind w:left="1704" w:hanging="1416"/>
      </w:pPr>
      <w:r w:rsidRPr="00AC7DB3">
        <w:rPr>
          <w:b/>
        </w:rPr>
        <w:t xml:space="preserve">Proposal </w:t>
      </w:r>
      <w:r w:rsidR="00AC0264">
        <w:rPr>
          <w:b/>
        </w:rPr>
        <w:t>5</w:t>
      </w:r>
      <w:r>
        <w:t>:</w:t>
      </w:r>
      <w:r>
        <w:tab/>
      </w:r>
      <w:r w:rsidR="002D02FE">
        <w:t>RRC Connection Reconfiguration expl</w:t>
      </w:r>
      <w:r w:rsidR="00AC7DB3">
        <w:t>icitly indicates whether the UE, for a given split bearer, shall perform PDCP data recovery and re-establishment of an RLC. Given that the underlying reason can be switching of the downlink, this indication is independent of switching of the uplink.</w:t>
      </w:r>
    </w:p>
    <w:p w14:paraId="58D23163" w14:textId="263BBADA" w:rsidR="002B03C4" w:rsidRDefault="002B03C4" w:rsidP="00CD4C7B">
      <w:r>
        <w:t>It seems that the same indication needs to be part of the X2</w:t>
      </w:r>
      <w:r w:rsidR="00755437">
        <w:t>AP</w:t>
      </w:r>
      <w:r>
        <w:t>/Xn</w:t>
      </w:r>
      <w:r w:rsidR="00755437">
        <w:t>AP</w:t>
      </w:r>
      <w:r>
        <w:t xml:space="preserve"> preparation message, to ensure that </w:t>
      </w:r>
      <w:r w:rsidR="00755437">
        <w:t xml:space="preserve">either </w:t>
      </w:r>
      <w:r>
        <w:t xml:space="preserve">the RLC re-establishment is done both by the UE and the network, or by neither. As an example, </w:t>
      </w:r>
      <w:r w:rsidR="00DF3B6C">
        <w:t xml:space="preserve">on an MCG split bearer, the SN may initiate switching </w:t>
      </w:r>
      <w:r w:rsidR="00755437">
        <w:t>towards the MCG, which can be because of blocking (RLC re-establishment needed), or simply because SN tries to get rid of the load (RLC re-establishment not needed): in such a case, MN would need to know whether it should perform PDCP data recovery.</w:t>
      </w:r>
    </w:p>
    <w:p w14:paraId="0E433608" w14:textId="12F02DB7" w:rsidR="002B47AC" w:rsidRDefault="002B47AC" w:rsidP="0060482F">
      <w:pPr>
        <w:ind w:left="1700" w:hanging="1416"/>
      </w:pPr>
      <w:r w:rsidRPr="002B47AC">
        <w:rPr>
          <w:b/>
        </w:rPr>
        <w:t xml:space="preserve">Proposal </w:t>
      </w:r>
      <w:r w:rsidR="00AC0264">
        <w:rPr>
          <w:b/>
        </w:rPr>
        <w:t>6</w:t>
      </w:r>
      <w:r>
        <w:t>:</w:t>
      </w:r>
      <w:r>
        <w:tab/>
      </w:r>
      <w:r>
        <w:tab/>
        <w:t>T</w:t>
      </w:r>
      <w:r w:rsidR="00E626D9">
        <w:t>o ensure that either the RLC re-establishment is done both by the UE and the network, or by neither, t</w:t>
      </w:r>
      <w:r>
        <w:t xml:space="preserve">he indication of Proposal </w:t>
      </w:r>
      <w:r w:rsidR="000C6702">
        <w:t>5</w:t>
      </w:r>
      <w:r>
        <w:t xml:space="preserve"> is part of </w:t>
      </w:r>
      <w:r w:rsidR="00E626D9">
        <w:t>the X2AP/XnAP preparation message</w:t>
      </w:r>
      <w:r>
        <w:t>.</w:t>
      </w:r>
    </w:p>
    <w:p w14:paraId="29F25FCB" w14:textId="5A2DE3CF" w:rsidR="000C6702" w:rsidRDefault="00333274" w:rsidP="00CD4C7B">
      <w:r>
        <w:t>On the topic of bearer-type change, it has previously been discussed whether, at re-establishment of an RLC, reset of the underlying MAC can be avoided. Similarly to the conclusion in that context, it seems that this can be left as a network decision.</w:t>
      </w:r>
    </w:p>
    <w:p w14:paraId="2D89749C" w14:textId="454B819E" w:rsidR="00333274" w:rsidRDefault="00333274" w:rsidP="00333274">
      <w:pPr>
        <w:ind w:left="1704" w:hanging="1416"/>
      </w:pPr>
      <w:r w:rsidRPr="00333274">
        <w:rPr>
          <w:b/>
        </w:rPr>
        <w:t>Proposal 7</w:t>
      </w:r>
      <w:r>
        <w:t>:</w:t>
      </w:r>
      <w:r>
        <w:tab/>
        <w:t>Also in the context of switching, whether re-establishment of an RLC comes with reset of the underlying MAC is left as a network decision.</w:t>
      </w:r>
    </w:p>
    <w:p w14:paraId="43A12B72" w14:textId="426B567E" w:rsidR="00CD4C7B" w:rsidRPr="006E13D1" w:rsidRDefault="00333274" w:rsidP="00CD4C7B">
      <w:pPr>
        <w:pStyle w:val="Heading1"/>
      </w:pPr>
      <w:r>
        <w:t>3</w:t>
      </w:r>
      <w:r w:rsidR="00CD4C7B" w:rsidRPr="006E13D1">
        <w:tab/>
      </w:r>
      <w:r>
        <w:t>Conclusion</w:t>
      </w:r>
    </w:p>
    <w:p w14:paraId="1C7D1336" w14:textId="17D679ED" w:rsidR="00131447" w:rsidRDefault="00131447" w:rsidP="00CD4C7B">
      <w:pPr>
        <w:rPr>
          <w:highlight w:val="yellow"/>
        </w:rPr>
      </w:pPr>
      <w:r>
        <w:t>In this contribu</w:t>
      </w:r>
      <w:r w:rsidR="00080D70">
        <w:t>tion, we discuss how switching, i.e.</w:t>
      </w:r>
      <w:r>
        <w:t xml:space="preserve"> changing the single cell group used on a s</w:t>
      </w:r>
      <w:r w:rsidR="00080D70">
        <w:t>plit bearer,</w:t>
      </w:r>
      <w:r>
        <w:t xml:space="preserve"> should be handled</w:t>
      </w:r>
      <w:r w:rsidR="00080D70">
        <w:t>, and conclude with the following.</w:t>
      </w:r>
    </w:p>
    <w:p w14:paraId="79591DB8" w14:textId="56CFAA41" w:rsidR="00080D70" w:rsidRDefault="00080D70" w:rsidP="00080D70">
      <w:r>
        <w:tab/>
      </w:r>
      <w:r w:rsidRPr="00CC2DF8">
        <w:rPr>
          <w:b/>
        </w:rPr>
        <w:t>Definition</w:t>
      </w:r>
      <w:r>
        <w:t>:</w:t>
      </w:r>
      <w:r>
        <w:tab/>
      </w:r>
      <w:r>
        <w:tab/>
        <w:t xml:space="preserve">Switching refers to changing, between MCG and SCG, the single cell group used on a split bearer. </w:t>
      </w:r>
    </w:p>
    <w:p w14:paraId="2FCE6ED6" w14:textId="77777777" w:rsidR="00080D70" w:rsidRDefault="00080D70" w:rsidP="00080D70">
      <w:pPr>
        <w:ind w:left="1704" w:hanging="1416"/>
      </w:pPr>
      <w:r w:rsidRPr="000E68E5">
        <w:rPr>
          <w:b/>
        </w:rPr>
        <w:t>Observation</w:t>
      </w:r>
      <w:r>
        <w:t>:</w:t>
      </w:r>
      <w:r>
        <w:tab/>
        <w:t>When switching away from a blocked cell group, data stuck at the transmission queue of the RLC of that cell group needs to be discarded, in order not to hold back PDCP’s transmission window (or cause HFN de-sync once un-blocked again).</w:t>
      </w:r>
    </w:p>
    <w:p w14:paraId="25C97803" w14:textId="77777777" w:rsidR="00080D70" w:rsidRDefault="00080D70" w:rsidP="00080D70">
      <w:r>
        <w:tab/>
      </w:r>
      <w:r w:rsidRPr="00573607">
        <w:rPr>
          <w:b/>
        </w:rPr>
        <w:t>Proposal 1</w:t>
      </w:r>
      <w:r>
        <w:t>:</w:t>
      </w:r>
      <w:r>
        <w:tab/>
      </w:r>
      <w:r>
        <w:tab/>
        <w:t>Switching is initiated and controlled by the network.</w:t>
      </w:r>
    </w:p>
    <w:p w14:paraId="79472659" w14:textId="77777777" w:rsidR="00CC6F4B" w:rsidRDefault="00CC6F4B" w:rsidP="00CC6F4B">
      <w:pPr>
        <w:ind w:left="1704" w:hanging="1416"/>
      </w:pPr>
      <w:r w:rsidRPr="009E6C2B">
        <w:rPr>
          <w:b/>
        </w:rPr>
        <w:t>Proposal 2</w:t>
      </w:r>
      <w:r>
        <w:t>:</w:t>
      </w:r>
      <w:r>
        <w:tab/>
        <w:t>Switching the uplink of a split bearer is always initiated using SN Modification Required (in the SN-initiated case), or SN Modification Request (in the MN-initiated case), where the X2AP/XnAP message indicates the proposed new uplink for the other node to consider.</w:t>
      </w:r>
    </w:p>
    <w:p w14:paraId="53933B06" w14:textId="77777777" w:rsidR="00080D70" w:rsidRDefault="00080D70" w:rsidP="00080D70">
      <w:pPr>
        <w:ind w:left="1704" w:hanging="1416"/>
      </w:pPr>
      <w:r w:rsidRPr="00564410">
        <w:rPr>
          <w:b/>
        </w:rPr>
        <w:lastRenderedPageBreak/>
        <w:t>Proposal 3</w:t>
      </w:r>
      <w:r>
        <w:t>:</w:t>
      </w:r>
      <w:r>
        <w:tab/>
        <w:t>A node (MN or SN) is allowed to initiate switching of the uplink away from its own cell group, or towards its own cell group.</w:t>
      </w:r>
    </w:p>
    <w:p w14:paraId="3730C1D0" w14:textId="77777777" w:rsidR="00080D70" w:rsidRPr="00542335" w:rsidRDefault="00080D70" w:rsidP="00080D70">
      <w:r>
        <w:tab/>
      </w:r>
      <w:r w:rsidRPr="00542335">
        <w:rPr>
          <w:b/>
        </w:rPr>
        <w:t>Proposal 4</w:t>
      </w:r>
      <w:r>
        <w:t>:</w:t>
      </w:r>
      <w:r>
        <w:tab/>
      </w:r>
      <w:r>
        <w:tab/>
        <w:t>MN cannot reject a request by SN to switch the uplink to MCG.</w:t>
      </w:r>
    </w:p>
    <w:p w14:paraId="16F80806" w14:textId="77777777" w:rsidR="00080D70" w:rsidRDefault="00080D70" w:rsidP="00080D70">
      <w:pPr>
        <w:ind w:left="1704" w:hanging="1416"/>
      </w:pPr>
      <w:r w:rsidRPr="00AC7DB3">
        <w:rPr>
          <w:b/>
        </w:rPr>
        <w:t xml:space="preserve">Proposal </w:t>
      </w:r>
      <w:r>
        <w:rPr>
          <w:b/>
        </w:rPr>
        <w:t>5</w:t>
      </w:r>
      <w:r>
        <w:t>:</w:t>
      </w:r>
      <w:r>
        <w:tab/>
        <w:t>RRC Connection Reconfiguration explicitly indicates whether the UE, for a given split bearer, shall perform PDCP data recovery and re-establishment of an RLC. Given that the underlying reason can be switching of the downlink, this indication is independent of switching of the uplink.</w:t>
      </w:r>
    </w:p>
    <w:p w14:paraId="13A034C7" w14:textId="77777777" w:rsidR="00CC6F4B" w:rsidRDefault="00CC6F4B" w:rsidP="00CC6F4B">
      <w:pPr>
        <w:ind w:left="1700" w:hanging="1416"/>
      </w:pPr>
      <w:r w:rsidRPr="002B47AC">
        <w:rPr>
          <w:b/>
        </w:rPr>
        <w:t xml:space="preserve">Proposal </w:t>
      </w:r>
      <w:r>
        <w:rPr>
          <w:b/>
        </w:rPr>
        <w:t>6</w:t>
      </w:r>
      <w:r>
        <w:t>:</w:t>
      </w:r>
      <w:r>
        <w:tab/>
      </w:r>
      <w:r>
        <w:tab/>
        <w:t>To ensure that either the RLC re-establishment is done both by the UE and the network, or by neither, the indication of Proposal 5 is part of the X2AP/XnAP preparation message.</w:t>
      </w:r>
    </w:p>
    <w:p w14:paraId="4770ACE9" w14:textId="77777777" w:rsidR="00080D70" w:rsidRDefault="00080D70" w:rsidP="00080D70">
      <w:pPr>
        <w:ind w:left="1704" w:hanging="1416"/>
      </w:pPr>
      <w:r w:rsidRPr="00333274">
        <w:rPr>
          <w:b/>
        </w:rPr>
        <w:t>Proposal 7</w:t>
      </w:r>
      <w:r>
        <w:t>:</w:t>
      </w:r>
      <w:r>
        <w:tab/>
        <w:t>Also in the context of switching, whether re-establishment of an RLC comes with reset of the underlying MAC is left as a network decision.</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7FAD" w14:textId="77777777" w:rsidR="00050056" w:rsidRDefault="00050056">
      <w:r>
        <w:separator/>
      </w:r>
    </w:p>
  </w:endnote>
  <w:endnote w:type="continuationSeparator" w:id="0">
    <w:p w14:paraId="7B4949DD" w14:textId="77777777" w:rsidR="00050056" w:rsidRDefault="0005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1E6A" w14:textId="77777777" w:rsidR="00050056" w:rsidRDefault="00050056">
      <w:r>
        <w:separator/>
      </w:r>
    </w:p>
  </w:footnote>
  <w:footnote w:type="continuationSeparator" w:id="0">
    <w:p w14:paraId="5BA7A1D3" w14:textId="77777777" w:rsidR="00050056" w:rsidRDefault="00050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056"/>
    <w:rsid w:val="00080512"/>
    <w:rsid w:val="00080D70"/>
    <w:rsid w:val="00090468"/>
    <w:rsid w:val="000B7BCF"/>
    <w:rsid w:val="000C522B"/>
    <w:rsid w:val="000C6702"/>
    <w:rsid w:val="000D58AB"/>
    <w:rsid w:val="000E68E5"/>
    <w:rsid w:val="001040E4"/>
    <w:rsid w:val="00112F1A"/>
    <w:rsid w:val="00131447"/>
    <w:rsid w:val="0013404A"/>
    <w:rsid w:val="00145075"/>
    <w:rsid w:val="001741A0"/>
    <w:rsid w:val="00175FA0"/>
    <w:rsid w:val="00194CD0"/>
    <w:rsid w:val="001956BC"/>
    <w:rsid w:val="001B49C9"/>
    <w:rsid w:val="001C4F79"/>
    <w:rsid w:val="001F168B"/>
    <w:rsid w:val="001F7831"/>
    <w:rsid w:val="00204045"/>
    <w:rsid w:val="0020712B"/>
    <w:rsid w:val="0022606D"/>
    <w:rsid w:val="00252E30"/>
    <w:rsid w:val="002747EC"/>
    <w:rsid w:val="002855BF"/>
    <w:rsid w:val="002B03C4"/>
    <w:rsid w:val="002B47AC"/>
    <w:rsid w:val="002C1B3A"/>
    <w:rsid w:val="002D02FE"/>
    <w:rsid w:val="002D7AF4"/>
    <w:rsid w:val="002F0D22"/>
    <w:rsid w:val="003172DC"/>
    <w:rsid w:val="00325AE3"/>
    <w:rsid w:val="00326069"/>
    <w:rsid w:val="00333274"/>
    <w:rsid w:val="00335E81"/>
    <w:rsid w:val="0035462D"/>
    <w:rsid w:val="0036295D"/>
    <w:rsid w:val="0039567A"/>
    <w:rsid w:val="003B3ED3"/>
    <w:rsid w:val="003B40AD"/>
    <w:rsid w:val="003C43D7"/>
    <w:rsid w:val="003C4E37"/>
    <w:rsid w:val="003E16BE"/>
    <w:rsid w:val="003E69D1"/>
    <w:rsid w:val="004006E8"/>
    <w:rsid w:val="00400841"/>
    <w:rsid w:val="00401855"/>
    <w:rsid w:val="00477455"/>
    <w:rsid w:val="004C44D2"/>
    <w:rsid w:val="004D3578"/>
    <w:rsid w:val="004D380D"/>
    <w:rsid w:val="004E213A"/>
    <w:rsid w:val="00503171"/>
    <w:rsid w:val="00506C28"/>
    <w:rsid w:val="00534DA0"/>
    <w:rsid w:val="00542335"/>
    <w:rsid w:val="00543E6C"/>
    <w:rsid w:val="00563D32"/>
    <w:rsid w:val="00564410"/>
    <w:rsid w:val="00565087"/>
    <w:rsid w:val="0056573F"/>
    <w:rsid w:val="00573607"/>
    <w:rsid w:val="00592446"/>
    <w:rsid w:val="0060482F"/>
    <w:rsid w:val="00611566"/>
    <w:rsid w:val="00646D99"/>
    <w:rsid w:val="00656910"/>
    <w:rsid w:val="006906B9"/>
    <w:rsid w:val="006C66D8"/>
    <w:rsid w:val="006D1E24"/>
    <w:rsid w:val="006E1417"/>
    <w:rsid w:val="006F6A2C"/>
    <w:rsid w:val="00710201"/>
    <w:rsid w:val="00717C7C"/>
    <w:rsid w:val="00721A3D"/>
    <w:rsid w:val="007342B5"/>
    <w:rsid w:val="00734A5B"/>
    <w:rsid w:val="00744E76"/>
    <w:rsid w:val="00755437"/>
    <w:rsid w:val="00757D40"/>
    <w:rsid w:val="00781F0F"/>
    <w:rsid w:val="0078727C"/>
    <w:rsid w:val="0079049D"/>
    <w:rsid w:val="007B18D8"/>
    <w:rsid w:val="007C095F"/>
    <w:rsid w:val="008028A4"/>
    <w:rsid w:val="00813245"/>
    <w:rsid w:val="008651C0"/>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9E6C2B"/>
    <w:rsid w:val="00A10F02"/>
    <w:rsid w:val="00A16FAD"/>
    <w:rsid w:val="00A204CA"/>
    <w:rsid w:val="00A53724"/>
    <w:rsid w:val="00A82346"/>
    <w:rsid w:val="00A9671C"/>
    <w:rsid w:val="00AA1553"/>
    <w:rsid w:val="00AA2317"/>
    <w:rsid w:val="00AB1E90"/>
    <w:rsid w:val="00AC0264"/>
    <w:rsid w:val="00AC7DB3"/>
    <w:rsid w:val="00B02050"/>
    <w:rsid w:val="00B15449"/>
    <w:rsid w:val="00B32835"/>
    <w:rsid w:val="00B47FD1"/>
    <w:rsid w:val="00B516BB"/>
    <w:rsid w:val="00B577FB"/>
    <w:rsid w:val="00B63504"/>
    <w:rsid w:val="00C02E3C"/>
    <w:rsid w:val="00C12B51"/>
    <w:rsid w:val="00C24650"/>
    <w:rsid w:val="00C33079"/>
    <w:rsid w:val="00C46945"/>
    <w:rsid w:val="00C83A13"/>
    <w:rsid w:val="00C9068C"/>
    <w:rsid w:val="00C92967"/>
    <w:rsid w:val="00CA3D0C"/>
    <w:rsid w:val="00CA654B"/>
    <w:rsid w:val="00CC2DF8"/>
    <w:rsid w:val="00CC6F4B"/>
    <w:rsid w:val="00CD4C7B"/>
    <w:rsid w:val="00CF2F3B"/>
    <w:rsid w:val="00D738D6"/>
    <w:rsid w:val="00D80354"/>
    <w:rsid w:val="00D80795"/>
    <w:rsid w:val="00D854BE"/>
    <w:rsid w:val="00D87E00"/>
    <w:rsid w:val="00D9134D"/>
    <w:rsid w:val="00D96D11"/>
    <w:rsid w:val="00DA7A03"/>
    <w:rsid w:val="00DB1818"/>
    <w:rsid w:val="00DC309B"/>
    <w:rsid w:val="00DC4DA2"/>
    <w:rsid w:val="00DE2B6A"/>
    <w:rsid w:val="00DF3B6C"/>
    <w:rsid w:val="00DF47D4"/>
    <w:rsid w:val="00E626D9"/>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8535C"/>
    <w:rsid w:val="00F97D5F"/>
    <w:rsid w:val="00FA1266"/>
    <w:rsid w:val="00FB36FA"/>
    <w:rsid w:val="00FC1192"/>
    <w:rsid w:val="00FC7C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3C43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43D7"/>
    <w:rPr>
      <w:rFonts w:ascii="Arial" w:eastAsia="MS Mincho" w:hAnsi="Arial"/>
      <w:szCs w:val="24"/>
    </w:rPr>
  </w:style>
  <w:style w:type="paragraph" w:styleId="BalloonText">
    <w:name w:val="Balloon Text"/>
    <w:basedOn w:val="Normal"/>
    <w:link w:val="BalloonTextChar"/>
    <w:rsid w:val="00E626D9"/>
    <w:pPr>
      <w:spacing w:after="0"/>
    </w:pPr>
    <w:rPr>
      <w:rFonts w:ascii="Segoe UI" w:hAnsi="Segoe UI"/>
      <w:sz w:val="18"/>
      <w:szCs w:val="18"/>
    </w:rPr>
  </w:style>
  <w:style w:type="character" w:customStyle="1" w:styleId="BalloonTextChar">
    <w:name w:val="Balloon Text Char"/>
    <w:basedOn w:val="DefaultParagraphFont"/>
    <w:link w:val="BalloonText"/>
    <w:rsid w:val="00E626D9"/>
    <w:rPr>
      <w:rFonts w:ascii="Segoe UI" w:hAnsi="Segoe UI"/>
      <w:sz w:val="18"/>
      <w:szCs w:val="18"/>
      <w:lang w:eastAsia="en-US"/>
    </w:rPr>
  </w:style>
  <w:style w:type="paragraph" w:styleId="Revision">
    <w:name w:val="Revision"/>
    <w:hidden/>
    <w:uiPriority w:val="99"/>
    <w:semiHidden/>
    <w:rsid w:val="006048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5AIRPNAIUNRU-859666464-842</_dlc_DocId>
    <_dlc_DocIdUrl xmlns="71c5aaf6-e6ce-465b-b873-5148d2a4c105">
      <Url>https://nokia.sharepoint.com/sites/c5g/e2earch/_layouts/15/DocIdRedir.aspx?ID=5AIRPNAIUNRU-859666464-842</Url>
      <Description>5AIRPNAIUNRU-859666464-842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6F87F-4A94-4508-A1A3-5F9FE35429A5}">
  <ds:schemaRefs>
    <ds:schemaRef ds:uri="http://schemas.microsoft.com/sharepoint/events"/>
  </ds:schemaRefs>
</ds:datastoreItem>
</file>

<file path=customXml/itemProps2.xml><?xml version="1.0" encoding="utf-8"?>
<ds:datastoreItem xmlns:ds="http://schemas.openxmlformats.org/officeDocument/2006/customXml" ds:itemID="{2EB500F2-5EF3-4DC9-BBF3-A74D3144D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9A69F-9A17-4D24-85C2-185C97CA2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F8BF88A-F086-43E7-A7BA-E69FF9BD4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3</cp:revision>
  <dcterms:created xsi:type="dcterms:W3CDTF">2017-09-28T16:10:00Z</dcterms:created>
  <dcterms:modified xsi:type="dcterms:W3CDTF">2017-09-28T16:10:00Z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2c3cd27e-dd3d-457f-a738-01b38e0e4d38</vt:lpwstr>
  </property>
</Properties>
</file>